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B63D172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4794E">
        <w:rPr>
          <w:rFonts w:ascii="Times New Roman" w:hAnsi="Times New Roman" w:cs="Times New Roman"/>
          <w:sz w:val="24"/>
          <w:szCs w:val="24"/>
        </w:rPr>
        <w:t>Главы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68350AA9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EA6B082" w14:textId="31B69FEE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</w:t>
      </w:r>
      <w:r w:rsidR="008E6A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 xml:space="preserve"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</w:t>
            </w:r>
            <w:proofErr w:type="gramStart"/>
            <w:r w:rsidRPr="008069A5">
              <w:rPr>
                <w:rFonts w:ascii="Times New Roman" w:eastAsia="Calibri" w:hAnsi="Times New Roman" w:cs="Times New Roman"/>
              </w:rPr>
              <w:t>производительности труда работников органов местного самоуправления городского округа</w:t>
            </w:r>
            <w:proofErr w:type="gramEnd"/>
            <w:r w:rsidRPr="008069A5">
              <w:rPr>
                <w:rFonts w:ascii="Times New Roman" w:eastAsia="Calibri" w:hAnsi="Times New Roman" w:cs="Times New Roman"/>
              </w:rPr>
              <w:t xml:space="preserve">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spellStart"/>
            <w:r w:rsidRPr="001E6639">
              <w:rPr>
                <w:rFonts w:ascii="Times New Roman" w:eastAsia="Calibri" w:hAnsi="Times New Roman" w:cs="Times New Roman"/>
              </w:rPr>
              <w:t>имущественно</w:t>
            </w:r>
            <w:proofErr w:type="spellEnd"/>
            <w:r w:rsidRPr="001E6639">
              <w:rPr>
                <w:rFonts w:ascii="Times New Roman" w:eastAsia="Calibri" w:hAnsi="Times New Roman" w:cs="Times New Roman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Обеспечение открытости и прозрачности </w:t>
            </w:r>
            <w:proofErr w:type="gramStart"/>
            <w:r w:rsidRPr="001E6639">
              <w:rPr>
                <w:rFonts w:ascii="Times New Roman" w:eastAsia="Calibri" w:hAnsi="Times New Roman" w:cs="Times New Roman"/>
              </w:rPr>
              <w:t>деятельности органов местного самоуправления городского округа Реутов</w:t>
            </w:r>
            <w:proofErr w:type="gramEnd"/>
            <w:r w:rsidRPr="001E6639">
              <w:rPr>
                <w:rFonts w:ascii="Times New Roman" w:eastAsia="Calibri" w:hAnsi="Times New Roman" w:cs="Times New Roman"/>
              </w:rPr>
      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1E6639">
              <w:rPr>
                <w:rFonts w:ascii="Times New Roman" w:hAnsi="Times New Roman" w:cs="Times New Roman"/>
              </w:rPr>
              <w:t>обеспечения эффективности деятельности органов местного самоуправления</w:t>
            </w:r>
            <w:proofErr w:type="gramEnd"/>
            <w:r w:rsidRPr="001E6639">
              <w:rPr>
                <w:rFonts w:ascii="Times New Roman" w:hAnsi="Times New Roman" w:cs="Times New Roman"/>
              </w:rPr>
              <w:t xml:space="preserve">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 xml:space="preserve">Внедрение систем электронного документооборота для обеспечения </w:t>
            </w:r>
            <w:proofErr w:type="gramStart"/>
            <w:r w:rsidRPr="008069A5">
              <w:rPr>
                <w:rFonts w:ascii="Times New Roman" w:hAnsi="Times New Roman" w:cs="Times New Roman"/>
              </w:rPr>
              <w:t>деятельности органов местного самоуправления городского округа Реутов</w:t>
            </w:r>
            <w:proofErr w:type="gramEnd"/>
            <w:r w:rsidRPr="008069A5">
              <w:rPr>
                <w:rFonts w:ascii="Times New Roman" w:hAnsi="Times New Roman" w:cs="Times New Roman"/>
              </w:rPr>
              <w:t>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</w:t>
            </w:r>
            <w:proofErr w:type="spellStart"/>
            <w:r w:rsidRPr="008069A5">
              <w:rPr>
                <w:rFonts w:ascii="Times New Roman" w:hAnsi="Times New Roman" w:cs="Times New Roman"/>
              </w:rPr>
              <w:t>РГИС</w:t>
            </w:r>
            <w:proofErr w:type="spellEnd"/>
            <w:r w:rsidRPr="008069A5">
              <w:rPr>
                <w:rFonts w:ascii="Times New Roman" w:hAnsi="Times New Roman" w:cs="Times New Roman"/>
              </w:rPr>
              <w:t xml:space="preserve">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</w:t>
            </w:r>
            <w:proofErr w:type="gramStart"/>
            <w:r w:rsidR="00303360" w:rsidRPr="001E6639">
              <w:rPr>
                <w:rFonts w:ascii="Times New Roman" w:hAnsi="Times New Roman" w:cs="Times New Roman"/>
              </w:rPr>
              <w:t>имуществом</w:t>
            </w:r>
            <w:proofErr w:type="gramEnd"/>
            <w:r w:rsidR="00303360" w:rsidRPr="001E6639">
              <w:rPr>
                <w:rFonts w:ascii="Times New Roman" w:hAnsi="Times New Roman" w:cs="Times New Roman"/>
              </w:rPr>
              <w:t xml:space="preserve">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Освещение </w:t>
            </w:r>
            <w:proofErr w:type="gramStart"/>
            <w:r w:rsidRPr="001E6639">
              <w:rPr>
                <w:rFonts w:ascii="Times New Roman" w:hAnsi="Times New Roman" w:cs="Times New Roman"/>
              </w:rPr>
              <w:t>деятельности органов местного самоуправления городского округа Реутов</w:t>
            </w:r>
            <w:proofErr w:type="gramEnd"/>
            <w:r w:rsidRPr="001E6639">
              <w:rPr>
                <w:rFonts w:ascii="Times New Roman" w:hAnsi="Times New Roman" w:cs="Times New Roman"/>
              </w:rPr>
              <w:t xml:space="preserve">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Освещение </w:t>
            </w:r>
            <w:proofErr w:type="gramStart"/>
            <w:r w:rsidRPr="001E6639">
              <w:rPr>
                <w:rFonts w:ascii="Times New Roman" w:hAnsi="Times New Roman" w:cs="Times New Roman"/>
              </w:rPr>
              <w:t>деятельности органов местного самоуправления муниципального образования городского округа Реутов</w:t>
            </w:r>
            <w:proofErr w:type="gramEnd"/>
            <w:r w:rsidRPr="001E6639">
              <w:rPr>
                <w:rFonts w:ascii="Times New Roman" w:hAnsi="Times New Roman" w:cs="Times New Roman"/>
              </w:rPr>
              <w:t xml:space="preserve">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Поддержание и развитие </w:t>
            </w:r>
            <w:proofErr w:type="gramStart"/>
            <w:r w:rsidRPr="001E6639">
              <w:rPr>
                <w:rFonts w:ascii="Times New Roman" w:hAnsi="Times New Roman" w:cs="Times New Roman"/>
              </w:rPr>
              <w:t>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  <w:proofErr w:type="gramEnd"/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46C3F871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2A7924">
              <w:rPr>
                <w:rFonts w:ascii="Times New Roman" w:eastAsia="Calibri" w:hAnsi="Times New Roman" w:cs="Times New Roman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2A7924">
              <w:rPr>
                <w:rFonts w:ascii="Times New Roman" w:eastAsia="Calibri" w:hAnsi="Times New Roman" w:cs="Times New Roman"/>
              </w:rPr>
              <w:t xml:space="preserve">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DF74B0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DF74B0" w:rsidRPr="00921B9E" w:rsidRDefault="00DF74B0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2FD37B45" w:rsidR="00DF74B0" w:rsidRPr="0013676F" w:rsidRDefault="00930F2F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1 593 842,3</w:t>
            </w:r>
            <w:r w:rsidR="00DF74B0"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086C8057" w:rsidR="00DF74B0" w:rsidRPr="00921B9E" w:rsidRDefault="00930F2F" w:rsidP="0024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338 201,6</w:t>
            </w:r>
            <w:r w:rsidR="00DF74B0"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49A88667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317 973,8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63D0F55C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309 973,8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58C1BAAC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275 873,8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31D27A5E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351 819,3 </w:t>
            </w:r>
          </w:p>
        </w:tc>
      </w:tr>
      <w:tr w:rsidR="00DF74B0" w:rsidRPr="001E6639" w14:paraId="5A2125B1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DF74B0" w:rsidRPr="00921B9E" w:rsidRDefault="00DF74B0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68FEC604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45 529,0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78D55A97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15 674</w:t>
            </w:r>
            <w:bookmarkStart w:id="0" w:name="_GoBack"/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bookmarkEnd w:id="0"/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4B40A829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20 374,5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6BB1D5ED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3 017,5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6EF01DA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2 902,0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23DA216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22772EF8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 xml:space="preserve">Расходы бюджета муниципального образования на содержание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органов местного самоуправления в расчете на одного жителя муниципального образования, 1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272,72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рублей к 2019 году</w:t>
            </w:r>
          </w:p>
          <w:p w14:paraId="2445035A" w14:textId="386C50EC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069E5C14" w14:textId="17E8C435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14:paraId="043F3094" w14:textId="5D032944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073751EB" w14:textId="55E6E930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704E6807" w14:textId="2F19BC8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14:paraId="0AF9D593" w14:textId="32BAC2F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24478E2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90%)</w:t>
            </w:r>
          </w:p>
          <w:p w14:paraId="68243D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90%)</w:t>
            </w:r>
          </w:p>
          <w:p w14:paraId="5154D2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  <w:proofErr w:type="gramEnd"/>
          </w:p>
          <w:p w14:paraId="3E1DD97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рабочих мест сотрудников, подключенных к ЛВС,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95%)</w:t>
            </w:r>
          </w:p>
          <w:p w14:paraId="1A2C823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ЕИМТС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Правительства Московской области к 2017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0%)</w:t>
            </w:r>
          </w:p>
          <w:p w14:paraId="388B9B7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60%)</w:t>
            </w:r>
          </w:p>
          <w:p w14:paraId="5ED731B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размещенных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ИС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65%)</w:t>
            </w:r>
          </w:p>
          <w:p w14:paraId="009C0AE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95%)</w:t>
            </w:r>
          </w:p>
          <w:p w14:paraId="7D5A572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муниципальных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ИС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, соответствующих требованиям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 xml:space="preserve">нормативных документов по защите информации, от общего количества муниципальных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ИС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к 2018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55%)</w:t>
            </w:r>
          </w:p>
          <w:p w14:paraId="0DCEE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50%)</w:t>
            </w:r>
          </w:p>
          <w:p w14:paraId="55CDD5C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СЭД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, от общего количества органов местного самоуправления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95%)</w:t>
            </w:r>
          </w:p>
          <w:p w14:paraId="548E39C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МСЭД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, от общего количества органов местного самоуправления к 2017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25%)</w:t>
            </w:r>
          </w:p>
          <w:p w14:paraId="6F4AAFD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80%)</w:t>
            </w:r>
          </w:p>
          <w:p w14:paraId="1F491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100%)</w:t>
            </w:r>
          </w:p>
          <w:p w14:paraId="52514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уникальных муниципальных услуг, доступных на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РПГУ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0%)</w:t>
            </w:r>
          </w:p>
          <w:p w14:paraId="124171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информации о муниципальных платежах, переданных в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ИС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УНП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МО для взаимодействия с государственной информационной системой о государственных и муниципальных платежах к 2018 году составит 80%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0%)</w:t>
            </w:r>
          </w:p>
          <w:p w14:paraId="73ACCE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граждан, использующих механизм получения муниципальных услуг в электронном виде к 2018 году составит 70%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45%)</w:t>
            </w:r>
          </w:p>
          <w:p w14:paraId="47777CD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использующих данные и подсистемы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РГИС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10%)</w:t>
            </w:r>
          </w:p>
          <w:p w14:paraId="4DFD371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50%)</w:t>
            </w:r>
          </w:p>
          <w:p w14:paraId="3EA5B525" w14:textId="77777777" w:rsid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  <w:proofErr w:type="gramEnd"/>
          </w:p>
          <w:p w14:paraId="677A8DC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39E005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F7F8C1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1B2DB4E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уровня профессионального развития муниципальных служащих в соответствии с планом профессиональной переподготовки и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повышения квалификации.</w:t>
            </w:r>
          </w:p>
          <w:p w14:paraId="32E0B200" w14:textId="4380FEDE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Достижение 100% муниципальных служащих, прошедших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обучение по повышению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квалификации к 2019 году.</w:t>
            </w:r>
          </w:p>
          <w:p w14:paraId="4AC4993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,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чем на 1 %; </w:t>
            </w:r>
          </w:p>
          <w:p w14:paraId="7337218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250F3C7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548FB9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стоимости основных фондов организаций муниципальной формы собственности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на 5 %.</w:t>
            </w:r>
          </w:p>
          <w:p w14:paraId="78988F24" w14:textId="399E9D0A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845D18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Среднее число обращений представителей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бизнес-сообщества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98368E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015B54DC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27D33C9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DC816F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14:paraId="3025EA3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14:paraId="399738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14:paraId="7960E9E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14:paraId="15FB73E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14:paraId="6A9B3FE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14:paraId="60EFAE4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14:paraId="65FEA5F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обращений для подачи документов и получения результата государственных или муниципальных услуг в общем количестве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обращений в МФЦ, 90% к 2019 году.</w:t>
            </w:r>
          </w:p>
          <w:p w14:paraId="75313D4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14:paraId="304E56D4" w14:textId="590B7D96" w:rsidR="00303360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14:paraId="74AAD588" w14:textId="3D28D27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14:paraId="58CEC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03BDAEE4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14:paraId="1951F60F" w14:textId="3164A94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, %;</w:t>
            </w:r>
            <w:proofErr w:type="gramEnd"/>
          </w:p>
          <w:p w14:paraId="7859586A" w14:textId="02B1C9CA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,%;</w:t>
            </w:r>
            <w:proofErr w:type="gramEnd"/>
          </w:p>
          <w:p w14:paraId="16A1D8D7" w14:textId="17A905F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),%;</w:t>
            </w:r>
            <w:proofErr w:type="gramEnd"/>
          </w:p>
          <w:p w14:paraId="7ABE1FE3" w14:textId="5C1AAF77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51F167F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52E8FD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56507FB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6940AF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2199E270" w14:textId="55105BCF" w:rsidR="00303360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14:paraId="512718D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нормативами градостроительного проектирования городского округа Реутов Московской области – 2015 год;</w:t>
            </w:r>
          </w:p>
          <w:p w14:paraId="63F029B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концепцией по формированию архитектурно-художественного облика и уникального единого стиля городской среды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городского округа Реутов Московской области – 2015 год;</w:t>
            </w:r>
          </w:p>
          <w:p w14:paraId="0F7E6F1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планировочных решений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по формированию пешеходных пространств – 2016 - 2019 года:</w:t>
            </w:r>
          </w:p>
          <w:p w14:paraId="00786BA6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п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.м</w:t>
            </w:r>
            <w:proofErr w:type="spellEnd"/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, общая площадь –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3,9га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>);</w:t>
            </w:r>
          </w:p>
          <w:p w14:paraId="26C66BD0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территории примыкающей к городскому пруду (общая площадь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5,55га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>);</w:t>
            </w:r>
          </w:p>
          <w:p w14:paraId="2522E05C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п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.м</w:t>
            </w:r>
            <w:proofErr w:type="spellEnd"/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, общая площадь –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2га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>).</w:t>
            </w:r>
          </w:p>
          <w:p w14:paraId="4605E79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14:paraId="7F29BD8F" w14:textId="6B91D2CC" w:rsidR="002A7924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ксплуатации и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5CCDE" w14:textId="77777777" w:rsidR="007C2126" w:rsidRDefault="007C2126" w:rsidP="000474AF">
      <w:pPr>
        <w:spacing w:after="0" w:line="240" w:lineRule="auto"/>
      </w:pPr>
      <w:r>
        <w:separator/>
      </w:r>
    </w:p>
  </w:endnote>
  <w:endnote w:type="continuationSeparator" w:id="0">
    <w:p w14:paraId="51E41744" w14:textId="77777777" w:rsidR="007C2126" w:rsidRDefault="007C212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930F2F">
          <w:rPr>
            <w:rFonts w:ascii="Times New Roman" w:hAnsi="Times New Roman" w:cs="Times New Roman"/>
            <w:noProof/>
          </w:rPr>
          <w:t>4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4BDE9" w14:textId="77777777" w:rsidR="007C2126" w:rsidRDefault="007C2126" w:rsidP="000474AF">
      <w:pPr>
        <w:spacing w:after="0" w:line="240" w:lineRule="auto"/>
      </w:pPr>
      <w:r>
        <w:separator/>
      </w:r>
    </w:p>
  </w:footnote>
  <w:footnote w:type="continuationSeparator" w:id="0">
    <w:p w14:paraId="561FB846" w14:textId="77777777" w:rsidR="007C2126" w:rsidRDefault="007C2126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9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B9A36-2480-4E2D-ABC0-67D3239A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4</cp:revision>
  <cp:lastPrinted>2014-10-15T10:19:00Z</cp:lastPrinted>
  <dcterms:created xsi:type="dcterms:W3CDTF">2014-10-14T14:18:00Z</dcterms:created>
  <dcterms:modified xsi:type="dcterms:W3CDTF">2015-10-23T11:56:00Z</dcterms:modified>
</cp:coreProperties>
</file>